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AF" w:rsidRDefault="00680709"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257AD" w:rsidRPr="006A085F">
        <w:rPr>
          <w:sz w:val="28"/>
          <w:szCs w:val="28"/>
          <w:lang w:val="ru-RU"/>
        </w:rPr>
        <w:t xml:space="preserve"> </w:t>
      </w:r>
      <w:r>
        <w:rPr>
          <w:sz w:val="28"/>
          <w:szCs w:val="28"/>
        </w:rPr>
        <w:t xml:space="preserve"> Додаток </w:t>
      </w:r>
      <w:r w:rsidR="00F80360">
        <w:rPr>
          <w:sz w:val="28"/>
          <w:szCs w:val="28"/>
        </w:rPr>
        <w:t>3</w:t>
      </w:r>
    </w:p>
    <w:p w:rsidR="00680709" w:rsidRDefault="00680709" w:rsidP="00E2669B">
      <w:pPr>
        <w:rPr>
          <w:sz w:val="28"/>
          <w:szCs w:val="28"/>
        </w:rPr>
      </w:pPr>
      <w:r>
        <w:rPr>
          <w:sz w:val="28"/>
          <w:szCs w:val="28"/>
        </w:rPr>
        <w:t xml:space="preserve">                                                                            до розпорядження Срібнянського</w:t>
      </w:r>
    </w:p>
    <w:p w:rsidR="00680709" w:rsidRDefault="00680709"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257AD" w:rsidRPr="006A085F">
        <w:rPr>
          <w:sz w:val="28"/>
          <w:szCs w:val="28"/>
          <w:lang w:val="ru-RU"/>
        </w:rPr>
        <w:t xml:space="preserve"> </w:t>
      </w:r>
      <w:r>
        <w:rPr>
          <w:sz w:val="28"/>
          <w:szCs w:val="28"/>
        </w:rPr>
        <w:t xml:space="preserve"> селищного голови</w:t>
      </w:r>
    </w:p>
    <w:p w:rsidR="00680709" w:rsidRPr="005D7546" w:rsidRDefault="00147733"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2669B">
        <w:rPr>
          <w:sz w:val="28"/>
          <w:szCs w:val="28"/>
        </w:rPr>
        <w:t xml:space="preserve"> </w:t>
      </w:r>
      <w:r>
        <w:rPr>
          <w:sz w:val="28"/>
          <w:szCs w:val="28"/>
        </w:rPr>
        <w:t xml:space="preserve">  </w:t>
      </w:r>
      <w:r w:rsidR="00E2669B">
        <w:rPr>
          <w:sz w:val="28"/>
          <w:szCs w:val="28"/>
        </w:rPr>
        <w:t>02</w:t>
      </w:r>
      <w:r w:rsidR="00200F2E" w:rsidRPr="005D7546">
        <w:rPr>
          <w:sz w:val="28"/>
          <w:szCs w:val="28"/>
        </w:rPr>
        <w:t xml:space="preserve"> </w:t>
      </w:r>
      <w:r w:rsidR="002F2A33" w:rsidRPr="005D7546">
        <w:rPr>
          <w:sz w:val="28"/>
          <w:szCs w:val="28"/>
        </w:rPr>
        <w:t>липня</w:t>
      </w:r>
      <w:r w:rsidR="008660C8">
        <w:rPr>
          <w:sz w:val="28"/>
          <w:szCs w:val="28"/>
        </w:rPr>
        <w:t xml:space="preserve"> </w:t>
      </w:r>
      <w:r>
        <w:rPr>
          <w:sz w:val="28"/>
          <w:szCs w:val="28"/>
        </w:rPr>
        <w:t>202</w:t>
      </w:r>
      <w:r w:rsidR="00274B5D">
        <w:rPr>
          <w:sz w:val="28"/>
          <w:szCs w:val="28"/>
        </w:rPr>
        <w:t>5</w:t>
      </w:r>
      <w:r w:rsidR="00680709">
        <w:rPr>
          <w:sz w:val="28"/>
          <w:szCs w:val="28"/>
        </w:rPr>
        <w:t xml:space="preserve"> р. №</w:t>
      </w:r>
      <w:r w:rsidR="00E2669B">
        <w:rPr>
          <w:sz w:val="28"/>
          <w:szCs w:val="28"/>
        </w:rPr>
        <w:t>101</w:t>
      </w:r>
    </w:p>
    <w:p w:rsidR="00680709" w:rsidRDefault="00680709" w:rsidP="00E2669B">
      <w:pPr>
        <w:jc w:val="right"/>
        <w:rPr>
          <w:sz w:val="28"/>
          <w:szCs w:val="28"/>
        </w:rPr>
      </w:pPr>
    </w:p>
    <w:p w:rsidR="00F80360" w:rsidRDefault="00F80360" w:rsidP="00F80360">
      <w:pPr>
        <w:jc w:val="center"/>
        <w:rPr>
          <w:b/>
          <w:sz w:val="28"/>
          <w:szCs w:val="28"/>
        </w:rPr>
      </w:pPr>
      <w:r>
        <w:rPr>
          <w:b/>
          <w:sz w:val="28"/>
          <w:szCs w:val="28"/>
        </w:rPr>
        <w:t>План</w:t>
      </w:r>
    </w:p>
    <w:p w:rsidR="00F80360" w:rsidRDefault="00F80360" w:rsidP="00F80360">
      <w:pPr>
        <w:jc w:val="center"/>
        <w:rPr>
          <w:b/>
          <w:sz w:val="28"/>
          <w:szCs w:val="28"/>
        </w:rPr>
      </w:pPr>
      <w:r>
        <w:rPr>
          <w:b/>
          <w:sz w:val="28"/>
          <w:szCs w:val="28"/>
        </w:rPr>
        <w:t>заходів з організації та проведення публічного громадського обговорення проєкту рішення Срібнянської селищної ради  щодо (перепрофілювання (зміни типу) Гриціївської гімназії Срібнянської селищної ради Чернігівської області відповідно до Плану трансформації мережі закладів загальної середньої освіти Срібнянської селищної ради на 2024 – 2027 роки</w:t>
      </w:r>
    </w:p>
    <w:p w:rsidR="00F80360" w:rsidRDefault="00F80360" w:rsidP="00F80360">
      <w:pPr>
        <w:jc w:val="center"/>
        <w:rPr>
          <w:b/>
          <w:sz w:val="28"/>
          <w:szCs w:val="28"/>
        </w:rPr>
      </w:pPr>
    </w:p>
    <w:tbl>
      <w:tblPr>
        <w:tblStyle w:val="ab"/>
        <w:tblW w:w="9493" w:type="dxa"/>
        <w:tblLook w:val="04A0"/>
      </w:tblPr>
      <w:tblGrid>
        <w:gridCol w:w="562"/>
        <w:gridCol w:w="4110"/>
        <w:gridCol w:w="1844"/>
        <w:gridCol w:w="2977"/>
      </w:tblGrid>
      <w:tr w:rsidR="00F80360" w:rsidTr="007D2031">
        <w:tc>
          <w:tcPr>
            <w:tcW w:w="562" w:type="dxa"/>
          </w:tcPr>
          <w:p w:rsidR="00F80360" w:rsidRPr="00147496" w:rsidRDefault="00F80360" w:rsidP="007D2031">
            <w:pPr>
              <w:jc w:val="center"/>
              <w:rPr>
                <w:sz w:val="28"/>
                <w:szCs w:val="28"/>
              </w:rPr>
            </w:pPr>
            <w:r w:rsidRPr="00147496">
              <w:rPr>
                <w:sz w:val="28"/>
                <w:szCs w:val="28"/>
              </w:rPr>
              <w:t>№ з/п</w:t>
            </w:r>
          </w:p>
        </w:tc>
        <w:tc>
          <w:tcPr>
            <w:tcW w:w="4110" w:type="dxa"/>
          </w:tcPr>
          <w:p w:rsidR="00F80360" w:rsidRPr="00147496" w:rsidRDefault="00F80360" w:rsidP="007D2031">
            <w:pPr>
              <w:jc w:val="center"/>
              <w:rPr>
                <w:sz w:val="28"/>
                <w:szCs w:val="28"/>
              </w:rPr>
            </w:pPr>
            <w:r w:rsidRPr="00147496">
              <w:rPr>
                <w:sz w:val="28"/>
                <w:szCs w:val="28"/>
              </w:rPr>
              <w:t>Назва заходу</w:t>
            </w:r>
          </w:p>
        </w:tc>
        <w:tc>
          <w:tcPr>
            <w:tcW w:w="1844" w:type="dxa"/>
          </w:tcPr>
          <w:p w:rsidR="00F80360" w:rsidRPr="00147496" w:rsidRDefault="00F80360" w:rsidP="007D2031">
            <w:pPr>
              <w:jc w:val="center"/>
              <w:rPr>
                <w:sz w:val="28"/>
                <w:szCs w:val="28"/>
              </w:rPr>
            </w:pPr>
            <w:r w:rsidRPr="00147496">
              <w:rPr>
                <w:sz w:val="28"/>
                <w:szCs w:val="28"/>
              </w:rPr>
              <w:t>Терміни виконання</w:t>
            </w:r>
          </w:p>
        </w:tc>
        <w:tc>
          <w:tcPr>
            <w:tcW w:w="2977" w:type="dxa"/>
          </w:tcPr>
          <w:p w:rsidR="00F80360" w:rsidRPr="00147496" w:rsidRDefault="00F80360" w:rsidP="007D2031">
            <w:pPr>
              <w:jc w:val="center"/>
              <w:rPr>
                <w:sz w:val="28"/>
                <w:szCs w:val="28"/>
              </w:rPr>
            </w:pPr>
            <w:r w:rsidRPr="00147496">
              <w:rPr>
                <w:sz w:val="28"/>
                <w:szCs w:val="28"/>
              </w:rPr>
              <w:t>Відповідальні виконавці</w:t>
            </w:r>
          </w:p>
        </w:tc>
      </w:tr>
      <w:tr w:rsidR="00F80360" w:rsidRPr="00F2523B" w:rsidTr="007D2031">
        <w:tc>
          <w:tcPr>
            <w:tcW w:w="562" w:type="dxa"/>
          </w:tcPr>
          <w:p w:rsidR="00F80360" w:rsidRPr="00F2523B" w:rsidRDefault="00F80360" w:rsidP="007D2031">
            <w:pPr>
              <w:jc w:val="center"/>
              <w:rPr>
                <w:sz w:val="28"/>
                <w:szCs w:val="28"/>
              </w:rPr>
            </w:pPr>
            <w:r w:rsidRPr="00F2523B">
              <w:rPr>
                <w:sz w:val="28"/>
                <w:szCs w:val="28"/>
              </w:rPr>
              <w:t>1</w:t>
            </w:r>
          </w:p>
        </w:tc>
        <w:tc>
          <w:tcPr>
            <w:tcW w:w="4110" w:type="dxa"/>
          </w:tcPr>
          <w:p w:rsidR="00F80360" w:rsidRPr="00F2523B" w:rsidRDefault="00F80360" w:rsidP="007D2031">
            <w:pPr>
              <w:jc w:val="center"/>
              <w:rPr>
                <w:sz w:val="28"/>
                <w:szCs w:val="28"/>
              </w:rPr>
            </w:pPr>
            <w:r>
              <w:rPr>
                <w:sz w:val="28"/>
                <w:szCs w:val="28"/>
              </w:rPr>
              <w:t>Підготовка, затвердження та оприлюднення інформаційного повідомлення про проведення публічного громадського обговорення</w:t>
            </w:r>
          </w:p>
        </w:tc>
        <w:tc>
          <w:tcPr>
            <w:tcW w:w="1844" w:type="dxa"/>
          </w:tcPr>
          <w:p w:rsidR="00F80360" w:rsidRPr="00F2523B" w:rsidRDefault="00F80360" w:rsidP="007D2031">
            <w:pPr>
              <w:jc w:val="center"/>
              <w:rPr>
                <w:sz w:val="28"/>
                <w:szCs w:val="28"/>
              </w:rPr>
            </w:pPr>
            <w:r>
              <w:rPr>
                <w:sz w:val="28"/>
                <w:szCs w:val="28"/>
              </w:rPr>
              <w:t>02.07.2025</w:t>
            </w:r>
          </w:p>
        </w:tc>
        <w:tc>
          <w:tcPr>
            <w:tcW w:w="2977" w:type="dxa"/>
          </w:tcPr>
          <w:p w:rsidR="00F80360" w:rsidRPr="00F2523B" w:rsidRDefault="00F80360" w:rsidP="007D2031">
            <w:pPr>
              <w:jc w:val="center"/>
              <w:rPr>
                <w:sz w:val="28"/>
                <w:szCs w:val="28"/>
              </w:rPr>
            </w:pPr>
            <w:r>
              <w:rPr>
                <w:sz w:val="28"/>
                <w:szCs w:val="28"/>
              </w:rPr>
              <w:t>Ніна БОНДАРЕНКО  Віталій НИКОНЕНКО</w:t>
            </w:r>
          </w:p>
        </w:tc>
      </w:tr>
      <w:tr w:rsidR="00F80360" w:rsidRPr="00F2523B" w:rsidTr="007D2031">
        <w:tc>
          <w:tcPr>
            <w:tcW w:w="562" w:type="dxa"/>
          </w:tcPr>
          <w:p w:rsidR="00F80360" w:rsidRPr="00F2523B" w:rsidRDefault="00F80360" w:rsidP="007D2031">
            <w:pPr>
              <w:jc w:val="center"/>
              <w:rPr>
                <w:sz w:val="28"/>
                <w:szCs w:val="28"/>
              </w:rPr>
            </w:pPr>
            <w:r>
              <w:rPr>
                <w:sz w:val="28"/>
                <w:szCs w:val="28"/>
              </w:rPr>
              <w:t>2</w:t>
            </w:r>
          </w:p>
        </w:tc>
        <w:tc>
          <w:tcPr>
            <w:tcW w:w="4110" w:type="dxa"/>
          </w:tcPr>
          <w:p w:rsidR="00F80360" w:rsidRPr="00F2523B" w:rsidRDefault="00F80360" w:rsidP="007D2031">
            <w:pPr>
              <w:jc w:val="center"/>
              <w:rPr>
                <w:sz w:val="28"/>
                <w:szCs w:val="28"/>
              </w:rPr>
            </w:pPr>
            <w:r>
              <w:rPr>
                <w:sz w:val="28"/>
                <w:szCs w:val="28"/>
              </w:rPr>
              <w:t>Забезпечення репрезентативності зацікавлених сторін</w:t>
            </w:r>
          </w:p>
        </w:tc>
        <w:tc>
          <w:tcPr>
            <w:tcW w:w="1844" w:type="dxa"/>
          </w:tcPr>
          <w:p w:rsidR="00F80360" w:rsidRPr="00F2523B" w:rsidRDefault="00F80360" w:rsidP="007D2031">
            <w:pPr>
              <w:jc w:val="center"/>
              <w:rPr>
                <w:sz w:val="28"/>
                <w:szCs w:val="28"/>
              </w:rPr>
            </w:pPr>
            <w:r>
              <w:rPr>
                <w:sz w:val="28"/>
                <w:szCs w:val="28"/>
              </w:rPr>
              <w:t>Протягом обговорення</w:t>
            </w:r>
          </w:p>
        </w:tc>
        <w:tc>
          <w:tcPr>
            <w:tcW w:w="2977" w:type="dxa"/>
          </w:tcPr>
          <w:p w:rsidR="00F80360" w:rsidRPr="00F2523B" w:rsidRDefault="00F80360" w:rsidP="007D2031">
            <w:pPr>
              <w:jc w:val="center"/>
              <w:rPr>
                <w:sz w:val="28"/>
                <w:szCs w:val="28"/>
              </w:rPr>
            </w:pPr>
            <w:r>
              <w:rPr>
                <w:sz w:val="28"/>
                <w:szCs w:val="28"/>
              </w:rPr>
              <w:t>Ніна БОНДАРЕНКО  Віталій НИКОНЕНКО</w:t>
            </w:r>
          </w:p>
        </w:tc>
      </w:tr>
      <w:tr w:rsidR="00F80360" w:rsidRPr="00F2523B" w:rsidTr="007D2031">
        <w:tc>
          <w:tcPr>
            <w:tcW w:w="562" w:type="dxa"/>
          </w:tcPr>
          <w:p w:rsidR="00F80360" w:rsidRDefault="00F80360" w:rsidP="007D2031">
            <w:pPr>
              <w:jc w:val="center"/>
              <w:rPr>
                <w:sz w:val="28"/>
                <w:szCs w:val="28"/>
              </w:rPr>
            </w:pPr>
            <w:r>
              <w:rPr>
                <w:sz w:val="28"/>
                <w:szCs w:val="28"/>
              </w:rPr>
              <w:t>3</w:t>
            </w:r>
          </w:p>
        </w:tc>
        <w:tc>
          <w:tcPr>
            <w:tcW w:w="4110" w:type="dxa"/>
          </w:tcPr>
          <w:p w:rsidR="00F80360" w:rsidRDefault="00F80360" w:rsidP="007D2031">
            <w:pPr>
              <w:jc w:val="center"/>
              <w:rPr>
                <w:sz w:val="28"/>
                <w:szCs w:val="28"/>
              </w:rPr>
            </w:pPr>
            <w:r>
              <w:rPr>
                <w:sz w:val="28"/>
                <w:szCs w:val="28"/>
              </w:rPr>
              <w:t>Публічні громадські обговорення на зустрічі з громадськістю Гриціївського старостинського округу</w:t>
            </w:r>
          </w:p>
        </w:tc>
        <w:tc>
          <w:tcPr>
            <w:tcW w:w="1844" w:type="dxa"/>
          </w:tcPr>
          <w:p w:rsidR="00F80360" w:rsidRDefault="00F80360" w:rsidP="007D2031">
            <w:pPr>
              <w:jc w:val="center"/>
              <w:rPr>
                <w:sz w:val="28"/>
                <w:szCs w:val="28"/>
              </w:rPr>
            </w:pPr>
            <w:r>
              <w:rPr>
                <w:sz w:val="28"/>
                <w:szCs w:val="28"/>
              </w:rPr>
              <w:t>03.06.2026</w:t>
            </w:r>
          </w:p>
        </w:tc>
        <w:tc>
          <w:tcPr>
            <w:tcW w:w="2977" w:type="dxa"/>
          </w:tcPr>
          <w:p w:rsidR="00F80360" w:rsidRDefault="00F80360" w:rsidP="007D2031">
            <w:pPr>
              <w:jc w:val="center"/>
              <w:rPr>
                <w:sz w:val="28"/>
                <w:szCs w:val="28"/>
              </w:rPr>
            </w:pPr>
            <w:r>
              <w:rPr>
                <w:sz w:val="28"/>
                <w:szCs w:val="28"/>
              </w:rPr>
              <w:t>Ніна БОНДАРЕНКО  Віталій НИКОНЕНКО Наталія ГЕЄЦЬ</w:t>
            </w:r>
          </w:p>
        </w:tc>
      </w:tr>
      <w:tr w:rsidR="00F80360" w:rsidRPr="00F2523B" w:rsidTr="007D2031">
        <w:tc>
          <w:tcPr>
            <w:tcW w:w="562" w:type="dxa"/>
          </w:tcPr>
          <w:p w:rsidR="00F80360" w:rsidRDefault="00F80360" w:rsidP="007D2031">
            <w:pPr>
              <w:jc w:val="center"/>
              <w:rPr>
                <w:sz w:val="28"/>
                <w:szCs w:val="28"/>
              </w:rPr>
            </w:pPr>
            <w:r>
              <w:rPr>
                <w:sz w:val="28"/>
                <w:szCs w:val="28"/>
              </w:rPr>
              <w:t>4</w:t>
            </w:r>
          </w:p>
        </w:tc>
        <w:tc>
          <w:tcPr>
            <w:tcW w:w="4110" w:type="dxa"/>
          </w:tcPr>
          <w:p w:rsidR="00F80360" w:rsidRDefault="00F80360" w:rsidP="007D2031">
            <w:pPr>
              <w:jc w:val="center"/>
              <w:rPr>
                <w:sz w:val="28"/>
                <w:szCs w:val="28"/>
              </w:rPr>
            </w:pPr>
            <w:r>
              <w:rPr>
                <w:sz w:val="28"/>
                <w:szCs w:val="28"/>
              </w:rPr>
              <w:t>Збір та аналіз письмових пропозицій громадян щодо запропонованого проєкту щодо перепрофілювання (зміну типу) Гриціївської гімназії Срібнянської селищної ради Чернігівської області</w:t>
            </w:r>
          </w:p>
        </w:tc>
        <w:tc>
          <w:tcPr>
            <w:tcW w:w="1844" w:type="dxa"/>
          </w:tcPr>
          <w:p w:rsidR="00F80360" w:rsidRDefault="00F80360" w:rsidP="007D2031">
            <w:pPr>
              <w:jc w:val="center"/>
              <w:rPr>
                <w:sz w:val="28"/>
                <w:szCs w:val="28"/>
              </w:rPr>
            </w:pPr>
            <w:r>
              <w:rPr>
                <w:sz w:val="28"/>
                <w:szCs w:val="28"/>
              </w:rPr>
              <w:t>До 01.06.2026</w:t>
            </w:r>
          </w:p>
        </w:tc>
        <w:tc>
          <w:tcPr>
            <w:tcW w:w="2977" w:type="dxa"/>
          </w:tcPr>
          <w:p w:rsidR="00F80360" w:rsidRDefault="00F80360" w:rsidP="007D2031">
            <w:pPr>
              <w:jc w:val="center"/>
              <w:rPr>
                <w:sz w:val="28"/>
                <w:szCs w:val="28"/>
              </w:rPr>
            </w:pPr>
            <w:r>
              <w:rPr>
                <w:sz w:val="28"/>
                <w:szCs w:val="28"/>
              </w:rPr>
              <w:t>Ніна БОНДАРЕНКО  Віталій НИКОНЕНКО</w:t>
            </w:r>
          </w:p>
          <w:p w:rsidR="00F80360" w:rsidRDefault="00F80360" w:rsidP="007D2031">
            <w:pPr>
              <w:jc w:val="center"/>
              <w:rPr>
                <w:sz w:val="28"/>
                <w:szCs w:val="28"/>
              </w:rPr>
            </w:pPr>
          </w:p>
        </w:tc>
      </w:tr>
      <w:tr w:rsidR="00F80360" w:rsidRPr="00F2523B" w:rsidTr="007D2031">
        <w:tc>
          <w:tcPr>
            <w:tcW w:w="562" w:type="dxa"/>
          </w:tcPr>
          <w:p w:rsidR="00F80360" w:rsidRDefault="00F80360" w:rsidP="007D2031">
            <w:pPr>
              <w:jc w:val="center"/>
              <w:rPr>
                <w:sz w:val="28"/>
                <w:szCs w:val="28"/>
              </w:rPr>
            </w:pPr>
            <w:r>
              <w:rPr>
                <w:sz w:val="28"/>
                <w:szCs w:val="28"/>
              </w:rPr>
              <w:t>5</w:t>
            </w:r>
          </w:p>
        </w:tc>
        <w:tc>
          <w:tcPr>
            <w:tcW w:w="4110" w:type="dxa"/>
          </w:tcPr>
          <w:p w:rsidR="00F80360" w:rsidRDefault="00F80360" w:rsidP="007D2031">
            <w:pPr>
              <w:jc w:val="center"/>
              <w:rPr>
                <w:sz w:val="28"/>
                <w:szCs w:val="28"/>
              </w:rPr>
            </w:pPr>
            <w:r>
              <w:rPr>
                <w:sz w:val="28"/>
                <w:szCs w:val="28"/>
              </w:rPr>
              <w:t>Оприлюднення звіту про результати публічного громадського обговорення</w:t>
            </w:r>
          </w:p>
        </w:tc>
        <w:tc>
          <w:tcPr>
            <w:tcW w:w="1844" w:type="dxa"/>
          </w:tcPr>
          <w:p w:rsidR="00F80360" w:rsidRDefault="00F80360" w:rsidP="007D2031">
            <w:pPr>
              <w:jc w:val="center"/>
              <w:rPr>
                <w:sz w:val="28"/>
                <w:szCs w:val="28"/>
              </w:rPr>
            </w:pPr>
            <w:r>
              <w:rPr>
                <w:sz w:val="28"/>
                <w:szCs w:val="28"/>
              </w:rPr>
              <w:t>15.06.2026</w:t>
            </w:r>
          </w:p>
        </w:tc>
        <w:tc>
          <w:tcPr>
            <w:tcW w:w="2977" w:type="dxa"/>
          </w:tcPr>
          <w:p w:rsidR="00F80360" w:rsidRDefault="00F80360" w:rsidP="007D2031">
            <w:pPr>
              <w:jc w:val="center"/>
              <w:rPr>
                <w:sz w:val="28"/>
                <w:szCs w:val="28"/>
              </w:rPr>
            </w:pPr>
            <w:r>
              <w:rPr>
                <w:sz w:val="28"/>
                <w:szCs w:val="28"/>
              </w:rPr>
              <w:t>Ніна БОНДАРЕНКО  Віталій НИКОНЕНКО</w:t>
            </w:r>
          </w:p>
          <w:p w:rsidR="00F80360" w:rsidRDefault="00F80360" w:rsidP="007D2031">
            <w:pPr>
              <w:jc w:val="center"/>
              <w:rPr>
                <w:sz w:val="28"/>
                <w:szCs w:val="28"/>
              </w:rPr>
            </w:pPr>
          </w:p>
        </w:tc>
      </w:tr>
    </w:tbl>
    <w:p w:rsidR="00F80360" w:rsidRDefault="00F80360" w:rsidP="00F80360">
      <w:pPr>
        <w:jc w:val="both"/>
        <w:rPr>
          <w:b/>
          <w:color w:val="000000"/>
          <w:sz w:val="28"/>
          <w:szCs w:val="28"/>
        </w:rPr>
      </w:pPr>
    </w:p>
    <w:p w:rsidR="00F80360" w:rsidRDefault="00F80360" w:rsidP="00F80360">
      <w:pPr>
        <w:jc w:val="both"/>
        <w:rPr>
          <w:b/>
          <w:color w:val="000000"/>
          <w:sz w:val="28"/>
          <w:szCs w:val="28"/>
        </w:rPr>
      </w:pPr>
    </w:p>
    <w:p w:rsidR="00F80360" w:rsidRDefault="00F80360" w:rsidP="00F80360">
      <w:pPr>
        <w:ind w:left="-142"/>
        <w:jc w:val="both"/>
        <w:rPr>
          <w:b/>
          <w:color w:val="000000"/>
          <w:sz w:val="28"/>
          <w:szCs w:val="28"/>
        </w:rPr>
      </w:pPr>
      <w:r>
        <w:rPr>
          <w:b/>
          <w:color w:val="000000"/>
          <w:sz w:val="28"/>
          <w:szCs w:val="28"/>
        </w:rPr>
        <w:t>Керуючий справами (секретар)</w:t>
      </w:r>
    </w:p>
    <w:p w:rsidR="00F80360" w:rsidRDefault="00F80360" w:rsidP="00F80360">
      <w:pPr>
        <w:ind w:left="-142"/>
        <w:jc w:val="both"/>
        <w:rPr>
          <w:b/>
          <w:sz w:val="28"/>
          <w:szCs w:val="28"/>
        </w:rPr>
      </w:pPr>
      <w:r>
        <w:rPr>
          <w:b/>
          <w:color w:val="000000"/>
          <w:sz w:val="28"/>
          <w:szCs w:val="28"/>
        </w:rPr>
        <w:t>виконавчого комітету</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Ірина ГЛЮЗО</w:t>
      </w:r>
    </w:p>
    <w:p w:rsidR="006F2A49" w:rsidRDefault="006F2A49" w:rsidP="00F80360">
      <w:pPr>
        <w:jc w:val="center"/>
      </w:pPr>
    </w:p>
    <w:sectPr w:rsidR="006F2A49" w:rsidSect="00303B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76" w:rsidRDefault="00AF0276" w:rsidP="00303BFC">
      <w:r>
        <w:separator/>
      </w:r>
    </w:p>
  </w:endnote>
  <w:endnote w:type="continuationSeparator" w:id="0">
    <w:p w:rsidR="00AF0276" w:rsidRDefault="00AF0276" w:rsidP="00303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76" w:rsidRDefault="00AF0276" w:rsidP="00303BFC">
      <w:r>
        <w:separator/>
      </w:r>
    </w:p>
  </w:footnote>
  <w:footnote w:type="continuationSeparator" w:id="0">
    <w:p w:rsidR="00AF0276" w:rsidRDefault="00AF0276" w:rsidP="00303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641"/>
      <w:docPartObj>
        <w:docPartGallery w:val="Page Numbers (Top of Page)"/>
        <w:docPartUnique/>
      </w:docPartObj>
    </w:sdtPr>
    <w:sdtContent>
      <w:p w:rsidR="00303BFC" w:rsidRDefault="00550431">
        <w:pPr>
          <w:pStyle w:val="a7"/>
          <w:jc w:val="center"/>
        </w:pPr>
        <w:r>
          <w:fldChar w:fldCharType="begin"/>
        </w:r>
        <w:r w:rsidR="00097AC8">
          <w:instrText xml:space="preserve"> PAGE   \* MERGEFORMAT </w:instrText>
        </w:r>
        <w:r>
          <w:fldChar w:fldCharType="separate"/>
        </w:r>
        <w:r w:rsidR="00E2669B">
          <w:rPr>
            <w:noProof/>
          </w:rPr>
          <w:t>2</w:t>
        </w:r>
        <w:r>
          <w:rPr>
            <w:noProof/>
          </w:rPr>
          <w:fldChar w:fldCharType="end"/>
        </w:r>
      </w:p>
    </w:sdtContent>
  </w:sdt>
  <w:p w:rsidR="00303BFC" w:rsidRPr="00E2669B" w:rsidRDefault="00E2669B" w:rsidP="00E2669B">
    <w:pPr>
      <w:pStyle w:val="a7"/>
      <w:jc w:val="right"/>
      <w:rPr>
        <w:sz w:val="28"/>
        <w:szCs w:val="28"/>
      </w:rPr>
    </w:pPr>
    <w:r w:rsidRPr="00E2669B">
      <w:rPr>
        <w:sz w:val="28"/>
        <w:szCs w:val="28"/>
      </w:rPr>
      <w:t>Продовження додатку</w:t>
    </w:r>
  </w:p>
  <w:p w:rsidR="00E2669B" w:rsidRDefault="00E2669B" w:rsidP="00E2669B">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D56B4"/>
    <w:multiLevelType w:val="hybridMultilevel"/>
    <w:tmpl w:val="8EA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0DAF"/>
    <w:rsid w:val="00000FA2"/>
    <w:rsid w:val="0001705A"/>
    <w:rsid w:val="000172A3"/>
    <w:rsid w:val="0002052F"/>
    <w:rsid w:val="0002628C"/>
    <w:rsid w:val="000403C1"/>
    <w:rsid w:val="00044169"/>
    <w:rsid w:val="00047D3B"/>
    <w:rsid w:val="00054FB2"/>
    <w:rsid w:val="0005599E"/>
    <w:rsid w:val="00067AF9"/>
    <w:rsid w:val="00097AC8"/>
    <w:rsid w:val="000A4943"/>
    <w:rsid w:val="000A5B7D"/>
    <w:rsid w:val="000D6FA8"/>
    <w:rsid w:val="000E01AF"/>
    <w:rsid w:val="00101A19"/>
    <w:rsid w:val="001223D6"/>
    <w:rsid w:val="001257AD"/>
    <w:rsid w:val="00126BCE"/>
    <w:rsid w:val="001369F2"/>
    <w:rsid w:val="00147733"/>
    <w:rsid w:val="0016284F"/>
    <w:rsid w:val="00163FE8"/>
    <w:rsid w:val="00167222"/>
    <w:rsid w:val="00173D63"/>
    <w:rsid w:val="0019254B"/>
    <w:rsid w:val="002000F9"/>
    <w:rsid w:val="00200F2E"/>
    <w:rsid w:val="00207688"/>
    <w:rsid w:val="00222160"/>
    <w:rsid w:val="0023405A"/>
    <w:rsid w:val="00234DBF"/>
    <w:rsid w:val="0023744A"/>
    <w:rsid w:val="002502D9"/>
    <w:rsid w:val="00254134"/>
    <w:rsid w:val="0026627E"/>
    <w:rsid w:val="00266753"/>
    <w:rsid w:val="002674C0"/>
    <w:rsid w:val="00274B5D"/>
    <w:rsid w:val="0028324E"/>
    <w:rsid w:val="00292F2A"/>
    <w:rsid w:val="002958CD"/>
    <w:rsid w:val="002B0E86"/>
    <w:rsid w:val="002C17CE"/>
    <w:rsid w:val="002C4C65"/>
    <w:rsid w:val="002E7DE8"/>
    <w:rsid w:val="002F2A33"/>
    <w:rsid w:val="00303BFC"/>
    <w:rsid w:val="00315D93"/>
    <w:rsid w:val="00340750"/>
    <w:rsid w:val="00345DCD"/>
    <w:rsid w:val="00350DAF"/>
    <w:rsid w:val="00374BE1"/>
    <w:rsid w:val="003A0CAF"/>
    <w:rsid w:val="003A22DA"/>
    <w:rsid w:val="003D5591"/>
    <w:rsid w:val="003E408E"/>
    <w:rsid w:val="003E50DC"/>
    <w:rsid w:val="003F7AA7"/>
    <w:rsid w:val="0040239C"/>
    <w:rsid w:val="004536E1"/>
    <w:rsid w:val="004751D0"/>
    <w:rsid w:val="00490515"/>
    <w:rsid w:val="004D2DEA"/>
    <w:rsid w:val="004D314E"/>
    <w:rsid w:val="004E0538"/>
    <w:rsid w:val="00517FA4"/>
    <w:rsid w:val="00534968"/>
    <w:rsid w:val="005374EC"/>
    <w:rsid w:val="00550431"/>
    <w:rsid w:val="0058272D"/>
    <w:rsid w:val="00592817"/>
    <w:rsid w:val="005B7BF4"/>
    <w:rsid w:val="005C16D5"/>
    <w:rsid w:val="005D7546"/>
    <w:rsid w:val="0060573E"/>
    <w:rsid w:val="00612DA9"/>
    <w:rsid w:val="006147E8"/>
    <w:rsid w:val="00616792"/>
    <w:rsid w:val="00646221"/>
    <w:rsid w:val="006638F0"/>
    <w:rsid w:val="00676AC7"/>
    <w:rsid w:val="00680709"/>
    <w:rsid w:val="00681752"/>
    <w:rsid w:val="00682F6A"/>
    <w:rsid w:val="006A085F"/>
    <w:rsid w:val="006A5822"/>
    <w:rsid w:val="006A6F3B"/>
    <w:rsid w:val="006D2975"/>
    <w:rsid w:val="006E6C26"/>
    <w:rsid w:val="006F2A49"/>
    <w:rsid w:val="00721724"/>
    <w:rsid w:val="00731C33"/>
    <w:rsid w:val="0074662D"/>
    <w:rsid w:val="00757F9B"/>
    <w:rsid w:val="007653CF"/>
    <w:rsid w:val="007839B9"/>
    <w:rsid w:val="007E3BDD"/>
    <w:rsid w:val="007F17C1"/>
    <w:rsid w:val="008060C0"/>
    <w:rsid w:val="00857A41"/>
    <w:rsid w:val="00860774"/>
    <w:rsid w:val="00865830"/>
    <w:rsid w:val="008660C8"/>
    <w:rsid w:val="008B24D5"/>
    <w:rsid w:val="008C67C5"/>
    <w:rsid w:val="00922D0F"/>
    <w:rsid w:val="009526FD"/>
    <w:rsid w:val="00955E43"/>
    <w:rsid w:val="00976FC4"/>
    <w:rsid w:val="00A47365"/>
    <w:rsid w:val="00A477E1"/>
    <w:rsid w:val="00A509AA"/>
    <w:rsid w:val="00A61CF7"/>
    <w:rsid w:val="00A62DBB"/>
    <w:rsid w:val="00A7270D"/>
    <w:rsid w:val="00A773B2"/>
    <w:rsid w:val="00A87A84"/>
    <w:rsid w:val="00AB226E"/>
    <w:rsid w:val="00AE0E63"/>
    <w:rsid w:val="00AE7A34"/>
    <w:rsid w:val="00AF0276"/>
    <w:rsid w:val="00B03D80"/>
    <w:rsid w:val="00B210E1"/>
    <w:rsid w:val="00B81A31"/>
    <w:rsid w:val="00B918EF"/>
    <w:rsid w:val="00B9402F"/>
    <w:rsid w:val="00BA532B"/>
    <w:rsid w:val="00C0060F"/>
    <w:rsid w:val="00C32AA5"/>
    <w:rsid w:val="00C51B2E"/>
    <w:rsid w:val="00C54BB2"/>
    <w:rsid w:val="00C97A47"/>
    <w:rsid w:val="00CB51B9"/>
    <w:rsid w:val="00CC6384"/>
    <w:rsid w:val="00CE0CC4"/>
    <w:rsid w:val="00D324BA"/>
    <w:rsid w:val="00D47924"/>
    <w:rsid w:val="00D50DAA"/>
    <w:rsid w:val="00D60C15"/>
    <w:rsid w:val="00D87A57"/>
    <w:rsid w:val="00DE186B"/>
    <w:rsid w:val="00E02641"/>
    <w:rsid w:val="00E17C24"/>
    <w:rsid w:val="00E202E3"/>
    <w:rsid w:val="00E25CDF"/>
    <w:rsid w:val="00E2669B"/>
    <w:rsid w:val="00E81523"/>
    <w:rsid w:val="00E9261C"/>
    <w:rsid w:val="00EA4C41"/>
    <w:rsid w:val="00EB0415"/>
    <w:rsid w:val="00EC13E9"/>
    <w:rsid w:val="00F30894"/>
    <w:rsid w:val="00F475C5"/>
    <w:rsid w:val="00F47BFF"/>
    <w:rsid w:val="00F53D84"/>
    <w:rsid w:val="00F5538D"/>
    <w:rsid w:val="00F80360"/>
    <w:rsid w:val="00F80AFC"/>
    <w:rsid w:val="00F90CF3"/>
    <w:rsid w:val="00FE079B"/>
    <w:rsid w:val="00FF3CD9"/>
    <w:rsid w:val="00FF5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DAF"/>
    <w:pPr>
      <w:ind w:left="720"/>
      <w:contextualSpacing/>
    </w:pPr>
  </w:style>
  <w:style w:type="paragraph" w:styleId="a4">
    <w:name w:val="Normal (Web)"/>
    <w:basedOn w:val="a"/>
    <w:uiPriority w:val="99"/>
    <w:rsid w:val="00EC13E9"/>
    <w:pPr>
      <w:spacing w:before="100" w:beforeAutospacing="1" w:after="100" w:afterAutospacing="1"/>
    </w:pPr>
    <w:rPr>
      <w:lang w:val="ru-RU"/>
    </w:rPr>
  </w:style>
  <w:style w:type="paragraph" w:styleId="a5">
    <w:name w:val="Balloon Text"/>
    <w:basedOn w:val="a"/>
    <w:link w:val="a6"/>
    <w:uiPriority w:val="99"/>
    <w:semiHidden/>
    <w:unhideWhenUsed/>
    <w:rsid w:val="00207688"/>
    <w:rPr>
      <w:rFonts w:ascii="Segoe UI" w:hAnsi="Segoe UI" w:cs="Segoe UI"/>
      <w:sz w:val="18"/>
      <w:szCs w:val="18"/>
    </w:rPr>
  </w:style>
  <w:style w:type="character" w:customStyle="1" w:styleId="a6">
    <w:name w:val="Текст выноски Знак"/>
    <w:basedOn w:val="a0"/>
    <w:link w:val="a5"/>
    <w:uiPriority w:val="99"/>
    <w:semiHidden/>
    <w:rsid w:val="00207688"/>
    <w:rPr>
      <w:rFonts w:ascii="Segoe UI" w:eastAsia="Times New Roman" w:hAnsi="Segoe UI" w:cs="Segoe UI"/>
      <w:sz w:val="18"/>
      <w:szCs w:val="18"/>
      <w:lang w:eastAsia="ru-RU"/>
    </w:rPr>
  </w:style>
  <w:style w:type="paragraph" w:styleId="a7">
    <w:name w:val="header"/>
    <w:basedOn w:val="a"/>
    <w:link w:val="a8"/>
    <w:uiPriority w:val="99"/>
    <w:unhideWhenUsed/>
    <w:rsid w:val="00303BFC"/>
    <w:pPr>
      <w:tabs>
        <w:tab w:val="center" w:pos="4677"/>
        <w:tab w:val="right" w:pos="9355"/>
      </w:tabs>
    </w:pPr>
  </w:style>
  <w:style w:type="character" w:customStyle="1" w:styleId="a8">
    <w:name w:val="Верхний колонтитул Знак"/>
    <w:basedOn w:val="a0"/>
    <w:link w:val="a7"/>
    <w:uiPriority w:val="99"/>
    <w:rsid w:val="00303BF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03BFC"/>
    <w:pPr>
      <w:tabs>
        <w:tab w:val="center" w:pos="4677"/>
        <w:tab w:val="right" w:pos="9355"/>
      </w:tabs>
    </w:pPr>
  </w:style>
  <w:style w:type="character" w:customStyle="1" w:styleId="aa">
    <w:name w:val="Нижний колонтитул Знак"/>
    <w:basedOn w:val="a0"/>
    <w:link w:val="a9"/>
    <w:uiPriority w:val="99"/>
    <w:semiHidden/>
    <w:rsid w:val="00303BFC"/>
    <w:rPr>
      <w:rFonts w:ascii="Times New Roman" w:eastAsia="Times New Roman" w:hAnsi="Times New Roman" w:cs="Times New Roman"/>
      <w:sz w:val="24"/>
      <w:szCs w:val="24"/>
      <w:lang w:eastAsia="ru-RU"/>
    </w:rPr>
  </w:style>
  <w:style w:type="table" w:styleId="ab">
    <w:name w:val="Table Grid"/>
    <w:basedOn w:val="a1"/>
    <w:uiPriority w:val="39"/>
    <w:rsid w:val="00F80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326711658">
      <w:bodyDiv w:val="1"/>
      <w:marLeft w:val="0"/>
      <w:marRight w:val="0"/>
      <w:marTop w:val="0"/>
      <w:marBottom w:val="0"/>
      <w:divBdr>
        <w:top w:val="none" w:sz="0" w:space="0" w:color="auto"/>
        <w:left w:val="none" w:sz="0" w:space="0" w:color="auto"/>
        <w:bottom w:val="none" w:sz="0" w:space="0" w:color="auto"/>
        <w:right w:val="none" w:sz="0" w:space="0" w:color="auto"/>
      </w:divBdr>
    </w:div>
    <w:div w:id="16200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D8EC5-B3D8-45DF-9DCE-7908F6B6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2025-06-30T11:24:00Z</cp:lastPrinted>
  <dcterms:created xsi:type="dcterms:W3CDTF">2025-07-02T13:46:00Z</dcterms:created>
  <dcterms:modified xsi:type="dcterms:W3CDTF">2025-07-02T13:46:00Z</dcterms:modified>
</cp:coreProperties>
</file>